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50022C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50022C">
                  <w:rPr>
                    <w:b w:val="0"/>
                    <w:bCs w:val="0"/>
                  </w:rPr>
                  <w:t>CSAR6100</w:t>
                </w:r>
                <w:r w:rsidR="004400B6">
                  <w:rPr>
                    <w:b w:val="0"/>
                    <w:bCs w:val="0"/>
                  </w:rPr>
                  <w:t xml:space="preserve"> on </w:t>
                </w:r>
                <w:r w:rsidR="00BB37C3">
                  <w:rPr>
                    <w:b w:val="0"/>
                    <w:bCs w:val="0"/>
                  </w:rPr>
                  <w:t xml:space="preserve">non-conducting </w:t>
                </w:r>
                <w:r w:rsidR="004400B6">
                  <w:rPr>
                    <w:b w:val="0"/>
                    <w:bCs w:val="0"/>
                  </w:rPr>
                  <w:t>substrates</w:t>
                </w:r>
                <w:r>
                  <w:rPr>
                    <w:b w:val="0"/>
                    <w:bCs w:val="0"/>
                  </w:rPr>
                  <w:t xml:space="preserve"> </w:t>
                </w:r>
                <w:r w:rsidR="00BB37C3">
                  <w:rPr>
                    <w:b w:val="0"/>
                    <w:bCs w:val="0"/>
                  </w:rPr>
                  <w:t xml:space="preserve">such </w:t>
                </w:r>
                <w:r>
                  <w:rPr>
                    <w:b w:val="0"/>
                    <w:bCs w:val="0"/>
                  </w:rPr>
                  <w:t xml:space="preserve">as SiO2 and </w:t>
                </w:r>
                <w:r w:rsidR="00BB37C3">
                  <w:rPr>
                    <w:b w:val="0"/>
                    <w:bCs w:val="0"/>
                  </w:rPr>
                  <w:t>quartz</w:t>
                </w:r>
                <w:r>
                  <w:rPr>
                    <w:b w:val="0"/>
                    <w:bCs w:val="0"/>
                  </w:rPr>
                  <w:t>.</w:t>
                </w:r>
                <w:r w:rsidR="00A22B27">
                  <w:rPr>
                    <w:b w:val="0"/>
                    <w:bCs w:val="0"/>
                  </w:rPr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111"/>
        <w:gridCol w:w="3685"/>
      </w:tblGrid>
      <w:tr w:rsidR="00E541B9" w:rsidTr="000B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111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3685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111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3685" w:type="dxa"/>
          </w:tcPr>
          <w:p w:rsidR="006B7FDF" w:rsidRDefault="00967352" w:rsidP="00134D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pre-treatment is not recommended</w:t>
            </w:r>
            <w:r w:rsidR="00134D2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5"/>
            <w:bookmarkEnd w:id="6"/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</w:t>
            </w:r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 w:rsidR="00134D2F">
              <w:t>CSAR 6200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A16FCA">
              <w:t xml:space="preserve"> 60 sec @ 4000 rpm (~18</w:t>
            </w:r>
            <w:r>
              <w:t>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1 min @ 15</w:t>
            </w:r>
            <w:r w:rsidR="00213809" w:rsidRPr="00160121">
              <w:rPr>
                <w:lang w:val="da-DK"/>
              </w:rPr>
              <w:t xml:space="preserve">0 </w:t>
            </w:r>
            <w:r w:rsidR="00213809" w:rsidRPr="00160121">
              <w:rPr>
                <w:rFonts w:cstheme="minorHAnsi"/>
                <w:lang w:val="da-DK"/>
              </w:rPr>
              <w:t>°</w:t>
            </w:r>
            <w:r w:rsidR="00213809" w:rsidRPr="00160121">
              <w:rPr>
                <w:lang w:val="da-DK"/>
              </w:rPr>
              <w:t>C (</w:t>
            </w:r>
            <w:proofErr w:type="spellStart"/>
            <w:r w:rsidR="00213809" w:rsidRPr="00160121">
              <w:rPr>
                <w:lang w:val="da-DK"/>
              </w:rPr>
              <w:t>hotplate</w:t>
            </w:r>
            <w:proofErr w:type="spellEnd"/>
            <w:r w:rsidR="00213809"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3685" w:type="dxa"/>
          </w:tcPr>
          <w:p w:rsidR="00213809" w:rsidRPr="00BA2953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syringe with filter or disposable pipette (cleaned by N2 gun).  </w:t>
            </w:r>
            <w:proofErr w:type="spellStart"/>
            <w:r>
              <w:t>Softbake</w:t>
            </w:r>
            <w:proofErr w:type="spellEnd"/>
            <w:r>
              <w:t xml:space="preserve"> is not a crucial step according to AllResist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>Coat with Thermal Aluminum (only for non-conductive substrates)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Al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Wordentec</w:t>
            </w:r>
            <w:proofErr w:type="spellEnd"/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Thickness: 20 nm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Rate: 15 Å/S</w:t>
            </w:r>
          </w:p>
        </w:tc>
        <w:tc>
          <w:tcPr>
            <w:tcW w:w="3685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BD6CF5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3685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111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>; a dose-test is required. See e-beam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>Removal of Thermal Aluminum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Al</w:t>
            </w:r>
          </w:p>
        </w:tc>
        <w:tc>
          <w:tcPr>
            <w:tcW w:w="1418" w:type="dxa"/>
          </w:tcPr>
          <w:p w:rsidR="00213809" w:rsidRPr="004400B6" w:rsidRDefault="00213809" w:rsidP="008E0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9E5BCF">
              <w:t xml:space="preserve">, </w:t>
            </w:r>
            <w:proofErr w:type="spellStart"/>
            <w:r w:rsidR="009E5BCF">
              <w:t>fumehood</w:t>
            </w:r>
            <w:proofErr w:type="spellEnd"/>
            <w:r w:rsidR="009E5BCF">
              <w:t xml:space="preserve"> </w:t>
            </w:r>
            <w:r w:rsidR="008E08A2">
              <w:t>in D-4</w:t>
            </w:r>
          </w:p>
        </w:tc>
        <w:tc>
          <w:tcPr>
            <w:tcW w:w="4111" w:type="dxa"/>
          </w:tcPr>
          <w:p w:rsidR="00213809" w:rsidRPr="000B539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/>
                <w:lang w:val="en-GB"/>
              </w:rPr>
            </w:pPr>
            <w:r>
              <w:t xml:space="preserve">Dip in </w:t>
            </w:r>
            <w:r w:rsidR="000B5396" w:rsidRPr="000B5396">
              <w:rPr>
                <w:lang w:val="en-GB"/>
              </w:rPr>
              <w:t>AZ 726 MIF</w:t>
            </w:r>
            <w:r>
              <w:t xml:space="preserve">, </w:t>
            </w:r>
            <w:r w:rsidR="000B5396">
              <w:t>6</w:t>
            </w:r>
            <w:r>
              <w:t>0 sec.</w:t>
            </w:r>
          </w:p>
          <w:p w:rsidR="00213809" w:rsidRDefault="000B5396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Rinse in H2O, </w:t>
            </w:r>
            <w:r w:rsidR="00213809">
              <w:t>5</w:t>
            </w:r>
            <w:r>
              <w:t>-15</w:t>
            </w:r>
            <w:r w:rsidR="00213809">
              <w:t xml:space="preserve"> sec</w:t>
            </w:r>
          </w:p>
          <w:p w:rsidR="00213809" w:rsidRPr="000B539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3685" w:type="dxa"/>
          </w:tcPr>
          <w:p w:rsidR="00213809" w:rsidRPr="00BA2953" w:rsidRDefault="000B5396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AZ 726 MIF is</w:t>
            </w:r>
            <w:r w:rsidRPr="000B5396">
              <w:t xml:space="preserve"> </w:t>
            </w:r>
            <w:r w:rsidRPr="000B5396">
              <w:rPr>
                <w:lang w:val="en-GB"/>
              </w:rPr>
              <w:t xml:space="preserve">2.38% TMAH in </w:t>
            </w:r>
            <w:r>
              <w:rPr>
                <w:lang w:val="en-GB"/>
              </w:rPr>
              <w:t xml:space="preserve">water. It is very important to rinse the wafer in water afterwards, and </w:t>
            </w:r>
            <w:r w:rsidRPr="000B5396">
              <w:rPr>
                <w:b/>
                <w:lang w:val="en-GB"/>
              </w:rPr>
              <w:t>not</w:t>
            </w:r>
            <w:r>
              <w:rPr>
                <w:lang w:val="en-GB"/>
              </w:rPr>
              <w:t xml:space="preserve"> IPA.  AZ 726 MIF goes to TMAH waste bottle after use. AZ 726 MIF attacks the resists</w:t>
            </w:r>
            <w:r w:rsidR="0040304C">
              <w:rPr>
                <w:lang w:val="en-GB"/>
              </w:rPr>
              <w:t>; the time of the dip should be as short as possible but not less than 50 s.</w:t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8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8"/>
          </w:p>
        </w:tc>
        <w:tc>
          <w:tcPr>
            <w:tcW w:w="3685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EE69BB" w:rsidP="00FD4F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</w:p>
        </w:tc>
        <w:tc>
          <w:tcPr>
            <w:tcW w:w="4111" w:type="dxa"/>
          </w:tcPr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AR 600-546, 60 sec</w:t>
            </w:r>
          </w:p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213809" w:rsidRPr="00CA625F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D6CF5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D6CF5" w:rsidRDefault="00BD6CF5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D6CF5" w:rsidRPr="00CA625F" w:rsidRDefault="00BD6CF5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D-4</w:t>
            </w:r>
          </w:p>
        </w:tc>
        <w:tc>
          <w:tcPr>
            <w:tcW w:w="4111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Remover AR 600-71</w:t>
            </w:r>
          </w:p>
        </w:tc>
        <w:tc>
          <w:tcPr>
            <w:tcW w:w="3685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REMOVER AR 600-71 ONLY AT ROOM TEMPERATURE</w:t>
            </w:r>
          </w:p>
        </w:tc>
      </w:tr>
    </w:tbl>
    <w:p w:rsidR="00FA7829" w:rsidRDefault="00FA7829" w:rsidP="004A297D">
      <w:pPr>
        <w:spacing w:after="200" w:line="276" w:lineRule="auto"/>
      </w:pPr>
      <w:bookmarkStart w:id="9" w:name="_GoBack"/>
      <w:bookmarkEnd w:id="9"/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B" w:rsidRDefault="00FF032B" w:rsidP="007C58CC">
      <w:r>
        <w:separator/>
      </w:r>
    </w:p>
  </w:endnote>
  <w:endnote w:type="continuationSeparator" w:id="0">
    <w:p w:rsidR="00FF032B" w:rsidRDefault="00FF032B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D6CF5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A297D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BD6CF5">
            <w:fldChar w:fldCharType="begin"/>
          </w:r>
          <w:r w:rsidR="00BD6CF5">
            <w:instrText xml:space="preserve"> NUMPAGES  \* Arabic  \* MERGEFORMAT </w:instrText>
          </w:r>
          <w:r w:rsidR="00BD6CF5">
            <w:fldChar w:fldCharType="separate"/>
          </w:r>
          <w:r w:rsidR="004A297D" w:rsidRPr="004A297D">
            <w:rPr>
              <w:noProof/>
              <w:sz w:val="16"/>
              <w:szCs w:val="16"/>
            </w:rPr>
            <w:t>2</w:t>
          </w:r>
          <w:r w:rsidR="00BD6CF5">
            <w:rPr>
              <w:noProof/>
              <w:sz w:val="16"/>
              <w:szCs w:val="16"/>
            </w:rPr>
            <w:fldChar w:fldCharType="end"/>
          </w:r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D6CF5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591C9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D6CF5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BD6CF5">
            <w:fldChar w:fldCharType="begin"/>
          </w:r>
          <w:r w:rsidR="00BD6CF5">
            <w:instrText xml:space="preserve"> NUMPAGES  \* Arabic  \* MERGEFORMAT </w:instrText>
          </w:r>
          <w:r w:rsidR="00BD6CF5">
            <w:fldChar w:fldCharType="separate"/>
          </w:r>
          <w:r w:rsidR="00BD6CF5" w:rsidRPr="00BD6CF5">
            <w:rPr>
              <w:noProof/>
              <w:sz w:val="16"/>
              <w:szCs w:val="16"/>
            </w:rPr>
            <w:t>1</w:t>
          </w:r>
          <w:r w:rsidR="00BD6CF5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B" w:rsidRDefault="00FF032B" w:rsidP="007C58CC">
      <w:r>
        <w:separator/>
      </w:r>
    </w:p>
  </w:footnote>
  <w:footnote w:type="continuationSeparator" w:id="0">
    <w:p w:rsidR="00FF032B" w:rsidRDefault="00FF032B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50022C" w:rsidP="0050022C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CSAR6200 with Aluminum</w:t>
              </w:r>
              <w:r w:rsidR="00DF0B47">
                <w:rPr>
                  <w:b/>
                </w:rPr>
                <w:t xml:space="preserve"> </w:t>
              </w:r>
              <w:r w:rsidR="00BB37C3">
                <w:rPr>
                  <w:b/>
                </w:rPr>
                <w:t>on non-conducting substrates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en-GB" w:eastAsia="en-GB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50022C" w:rsidP="0050022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20151027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544C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48A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396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34D2F"/>
    <w:rsid w:val="00144007"/>
    <w:rsid w:val="0014614B"/>
    <w:rsid w:val="00146B04"/>
    <w:rsid w:val="00153CC7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04C"/>
    <w:rsid w:val="00403A49"/>
    <w:rsid w:val="004128F7"/>
    <w:rsid w:val="004131C9"/>
    <w:rsid w:val="004245A1"/>
    <w:rsid w:val="004301A6"/>
    <w:rsid w:val="00431A8F"/>
    <w:rsid w:val="0043398C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297D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022C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5805"/>
    <w:rsid w:val="00586DE1"/>
    <w:rsid w:val="00591524"/>
    <w:rsid w:val="00591C9E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08A2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16FCA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D6CF5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67F02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E69BB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D4F64"/>
    <w:rsid w:val="00FE2409"/>
    <w:rsid w:val="00FE74D1"/>
    <w:rsid w:val="00FF032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4C7636"/>
    <w:rsid w:val="00696008"/>
    <w:rsid w:val="007B7A16"/>
    <w:rsid w:val="00837E73"/>
    <w:rsid w:val="00850A05"/>
    <w:rsid w:val="0085235F"/>
    <w:rsid w:val="00A42D6A"/>
    <w:rsid w:val="00AF4456"/>
    <w:rsid w:val="00B82D30"/>
    <w:rsid w:val="00C24318"/>
    <w:rsid w:val="00C44C2C"/>
    <w:rsid w:val="00C83AD7"/>
    <w:rsid w:val="00D36F96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9306-F2FE-4CC7-8DF9-19A8EF88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12</cp:revision>
  <cp:lastPrinted>2013-06-13T09:56:00Z</cp:lastPrinted>
  <dcterms:created xsi:type="dcterms:W3CDTF">2015-10-27T12:47:00Z</dcterms:created>
  <dcterms:modified xsi:type="dcterms:W3CDTF">2015-11-30T11:49:00Z</dcterms:modified>
</cp:coreProperties>
</file>